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F77309" w:rsidRDefault="005943DA" w:rsidP="00163AF4">
      <w:pPr>
        <w:pStyle w:val="Body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F77309">
        <w:rPr>
          <w:rFonts w:ascii="Calibri" w:hAnsi="Calibri" w:cs="Calibri"/>
        </w:rPr>
        <w:t>Anexa</w:t>
      </w:r>
      <w:r w:rsidR="00E05E14">
        <w:rPr>
          <w:rFonts w:ascii="Calibri" w:hAnsi="Calibri" w:cs="Calibri"/>
        </w:rPr>
        <w:t xml:space="preserve"> 5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expertiza pe documentele (scrise si desenate) ale specialitatii de rezistenta pentru partea de DALI? acestea pot fi asimilate cu plansele cu 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Evaluarea expunerii la riscuri( identificarea riscurilor care sunt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lastRenderedPageBreak/>
              <w:t>relevante pentru locația proiectului)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93" w:rsidRDefault="00994593">
      <w:r>
        <w:separator/>
      </w:r>
    </w:p>
  </w:endnote>
  <w:endnote w:type="continuationSeparator" w:id="0">
    <w:p w:rsidR="00994593" w:rsidRDefault="0099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DF5DBB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DF5DBB">
    <w:pPr>
      <w:pStyle w:val="Footer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93" w:rsidRDefault="00994593">
      <w:r>
        <w:separator/>
      </w:r>
    </w:p>
  </w:footnote>
  <w:footnote w:type="continuationSeparator" w:id="0">
    <w:p w:rsidR="00994593" w:rsidRDefault="0099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DF5DBB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E05E14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E05E14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DF5DBB" w:rsidP="0018537E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716B"/>
    <w:rsid w:val="00994593"/>
    <w:rsid w:val="009C6F66"/>
    <w:rsid w:val="009F711B"/>
    <w:rsid w:val="00A46082"/>
    <w:rsid w:val="00A74DC9"/>
    <w:rsid w:val="00AC3124"/>
    <w:rsid w:val="00AE4990"/>
    <w:rsid w:val="00AF0DE7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DF5DBB"/>
    <w:rsid w:val="00E05E14"/>
    <w:rsid w:val="00E17480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DD24C41-CBC7-4256-8039-B20A8D51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5F9D1-75E8-41A4-A5C4-7A6F1108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9</Pages>
  <Words>2906</Words>
  <Characters>16859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2023-09-06T09:14:00Z</dcterms:created>
  <dcterms:modified xsi:type="dcterms:W3CDTF">2023-09-06T09:14:00Z</dcterms:modified>
</cp:coreProperties>
</file>